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C87E" w14:textId="6DD856FE" w:rsidR="00DD689D" w:rsidRPr="00FB102C" w:rsidRDefault="006A0DF2">
      <w:pPr>
        <w:pStyle w:val="Heading1"/>
        <w:spacing w:before="80" w:after="40"/>
        <w:rPr>
          <w:color w:val="153D63" w:themeColor="text2" w:themeTint="E6"/>
        </w:rPr>
      </w:pPr>
      <w:r>
        <w:rPr>
          <w:color w:val="153D63" w:themeColor="text2" w:themeTint="E6"/>
        </w:rPr>
        <w:t>Director of Development</w:t>
      </w:r>
    </w:p>
    <w:p w14:paraId="185A56E1" w14:textId="11BB85DD" w:rsidR="00DD689D" w:rsidRDefault="006A0DF2">
      <w:pPr>
        <w:spacing w:after="60"/>
      </w:pPr>
      <w:r>
        <w:rPr>
          <w:color w:val="555555"/>
          <w:sz w:val="19"/>
          <w:szCs w:val="19"/>
        </w:rPr>
        <w:t xml:space="preserve">Boston, MA </w:t>
      </w:r>
      <w:proofErr w:type="gramStart"/>
      <w:r>
        <w:rPr>
          <w:color w:val="555555"/>
          <w:sz w:val="19"/>
          <w:szCs w:val="19"/>
        </w:rPr>
        <w:t>Hybrid  |</w:t>
      </w:r>
      <w:proofErr w:type="gramEnd"/>
      <w:r>
        <w:rPr>
          <w:color w:val="555555"/>
          <w:sz w:val="19"/>
          <w:szCs w:val="19"/>
        </w:rPr>
        <w:t xml:space="preserve">  Full-</w:t>
      </w:r>
      <w:proofErr w:type="gramStart"/>
      <w:r>
        <w:rPr>
          <w:color w:val="555555"/>
          <w:sz w:val="19"/>
          <w:szCs w:val="19"/>
        </w:rPr>
        <w:t>Time  |</w:t>
      </w:r>
      <w:proofErr w:type="gramEnd"/>
      <w:r>
        <w:rPr>
          <w:color w:val="555555"/>
          <w:sz w:val="19"/>
          <w:szCs w:val="19"/>
        </w:rPr>
        <w:t xml:space="preserve">  </w:t>
      </w:r>
      <w:r>
        <w:rPr>
          <w:b/>
          <w:bCs/>
          <w:color w:val="153D63" w:themeColor="text2" w:themeTint="E6"/>
          <w:sz w:val="19"/>
          <w:szCs w:val="19"/>
        </w:rPr>
        <w:t xml:space="preserve">One-Year Term Position (with path to </w:t>
      </w:r>
      <w:proofErr w:type="gramStart"/>
      <w:r>
        <w:rPr>
          <w:b/>
          <w:bCs/>
          <w:color w:val="153D63" w:themeColor="text2" w:themeTint="E6"/>
          <w:sz w:val="19"/>
          <w:szCs w:val="19"/>
        </w:rPr>
        <w:t>permanent)</w:t>
      </w:r>
      <w:r>
        <w:rPr>
          <w:color w:val="555555"/>
          <w:sz w:val="19"/>
          <w:szCs w:val="19"/>
        </w:rPr>
        <w:t xml:space="preserve">  |</w:t>
      </w:r>
      <w:proofErr w:type="gramEnd"/>
      <w:r>
        <w:rPr>
          <w:color w:val="555555"/>
          <w:sz w:val="19"/>
          <w:szCs w:val="19"/>
        </w:rPr>
        <w:t xml:space="preserve">  Start: July 1, 2026</w:t>
      </w:r>
    </w:p>
    <w:p w14:paraId="58B85ABB" w14:textId="0B81444C" w:rsidR="00DD689D" w:rsidRPr="00FB102C" w:rsidRDefault="002A7494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The Opportunity</w:t>
      </w:r>
    </w:p>
    <w:p w14:paraId="79671F24" w14:textId="19364743" w:rsidR="00D53101" w:rsidRDefault="002A7494" w:rsidP="00D53101">
      <w:pPr>
        <w:spacing w:after="80"/>
      </w:pPr>
      <w:r>
        <w:t xml:space="preserve">The Director of Development at PowerOptions role is a ground-floor opportunity to build the fundraising foundation of our 501c3. PowerOptions Connect, a young organization tackling one of the most urgent challenges of our time: bringing the benefits of clean energy to the communities that need it most. While the Director position is starting as a one-year temporary role, as PowerOptions Connect establishes itself, it is expected to grow into a permanent position. If you're energized by building something meaningful from the start, this is your moment. You'll hit the ground running alongside an experienced fundraising consultant who has been </w:t>
      </w:r>
      <w:r w:rsidR="4F97BC89">
        <w:t xml:space="preserve">working </w:t>
      </w:r>
      <w:r>
        <w:t>with PO Connect since December 2025.</w:t>
      </w:r>
    </w:p>
    <w:p w14:paraId="32AB1158" w14:textId="60590836" w:rsidR="002A7494" w:rsidRDefault="002A7494" w:rsidP="002A7494">
      <w:pPr>
        <w:spacing w:after="80"/>
      </w:pPr>
      <w:r>
        <w:t>PowerOptions Connect is a 501(c)(3) sister organization to PowerOptions, Inc.--New England's largest nonprofit energy-buying consortium, serving 800+ member organizations across four states. PO Connect delivers four transformative programs: SolarShare (sharing the economic benefits of local solar with energy-burdened residents), Clean Energy Community Resilience Hubs (powering community spaces with clean energy and ensuring they can continue to serve their communities in emergencies), the Climate Implementation Hub (providing long-term decarbonization support to municipalities), and Decarbonization and Energy Resilience Support (delivering energy advisory services at low or no cost).</w:t>
      </w:r>
    </w:p>
    <w:p w14:paraId="592EF75B" w14:textId="77777777" w:rsidR="00DD689D" w:rsidRPr="00FB102C" w:rsidRDefault="006A0DF2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Key Responsibilities</w:t>
      </w:r>
    </w:p>
    <w:p w14:paraId="5EF0263D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Drive PO Connect's fundraising strategy--identifying and pursuing high-value opportunities across public and private grantors that align with our mission</w:t>
      </w:r>
    </w:p>
    <w:p w14:paraId="3DF7E45A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Cultivate a dynamic portfolio of funders and ensure senior leadership maintains strong, sustained relationships with the partners most critical to our growth</w:t>
      </w:r>
    </w:p>
    <w:p w14:paraId="6A0023A4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Spot and seize grant opportunities; lead proposals, manage deliverables, and nurture grantor relationships that keep funding flowing</w:t>
      </w:r>
    </w:p>
    <w:p w14:paraId="22642757" w14:textId="630698AF" w:rsidR="002A7494" w:rsidRDefault="002A7494" w:rsidP="002A7494">
      <w:pPr>
        <w:pStyle w:val="ListParagraph"/>
        <w:numPr>
          <w:ilvl w:val="0"/>
          <w:numId w:val="3"/>
        </w:numPr>
      </w:pPr>
      <w:r>
        <w:t>Build the fundraising infrastructure--CRM practices, pipelines, and systems--that will sustain PO Connect as it scales and demonstrate fundraising progress</w:t>
      </w:r>
    </w:p>
    <w:p w14:paraId="7746097F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Collaborate across teams to translate real community impact into compelling, funder-ready stories</w:t>
      </w:r>
    </w:p>
    <w:p w14:paraId="6A00D3C6" w14:textId="77777777" w:rsidR="00DD689D" w:rsidRDefault="006A0DF2">
      <w:pPr>
        <w:pStyle w:val="Heading2"/>
      </w:pPr>
      <w:r>
        <w:rPr>
          <w:color w:val="153D63" w:themeColor="text2" w:themeTint="E6"/>
        </w:rPr>
        <w:t>Qualifications</w:t>
      </w:r>
    </w:p>
    <w:p w14:paraId="13C34E7F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5+ years shaping and executing strategic philanthropic partnership plans</w:t>
      </w:r>
    </w:p>
    <w:p w14:paraId="46A70B8B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Proven track record cultivating relationships with diverse funders and internal stakeholders</w:t>
      </w:r>
    </w:p>
    <w:p w14:paraId="1172B030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Strong grant management skills and exceptional written and verbal communication</w:t>
      </w:r>
    </w:p>
    <w:p w14:paraId="77DDC8FF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Experience with prospect research and managing multiple high-value partnerships simultaneously</w:t>
      </w:r>
    </w:p>
    <w:p w14:paraId="1274DB3F" w14:textId="77777777" w:rsidR="002A7494" w:rsidRDefault="002A7494" w:rsidP="002A7494">
      <w:pPr>
        <w:pStyle w:val="ListParagraph"/>
        <w:numPr>
          <w:ilvl w:val="0"/>
          <w:numId w:val="3"/>
        </w:numPr>
      </w:pPr>
      <w:r>
        <w:t>CRM experience preferred (Salesforce and GiveButter a plus); energy sector knowledge helpful but not required</w:t>
      </w:r>
    </w:p>
    <w:p w14:paraId="1A20857D" w14:textId="77777777" w:rsidR="00DD689D" w:rsidRPr="00FB102C" w:rsidRDefault="006A0DF2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Our Commitment</w:t>
      </w:r>
    </w:p>
    <w:p w14:paraId="636595A7" w14:textId="77777777" w:rsidR="002A7494" w:rsidRDefault="002A7494" w:rsidP="002A7494">
      <w:pPr>
        <w:spacing w:after="80"/>
      </w:pPr>
      <w:r>
        <w:t>PowerOptions is a proud, woman-led nonprofit founded to serve under-resourced communities. Equity and inclusion aren't just values we talk about--they're core to our work advancing energy justice and to how we grow as an organization. We actively seek a diverse team and welcome candidates of all backgrounds. PowerOptions is an equal opportunity employer.</w:t>
      </w:r>
    </w:p>
    <w:p w14:paraId="47DD83A5" w14:textId="77777777" w:rsidR="002A7494" w:rsidRPr="002A7494" w:rsidRDefault="002A7494" w:rsidP="002A7494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Salary Range</w:t>
      </w:r>
    </w:p>
    <w:p w14:paraId="40A2B22F" w14:textId="27137974" w:rsidR="002A7494" w:rsidRDefault="002A7494" w:rsidP="002A7494">
      <w:r>
        <w:t>The salary range for this position is $140,000-150,000, commensurate with experience.</w:t>
      </w:r>
    </w:p>
    <w:p w14:paraId="7619B615" w14:textId="77777777" w:rsidR="002A7494" w:rsidRDefault="002A7494" w:rsidP="002A7494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How to Apply</w:t>
      </w:r>
    </w:p>
    <w:p w14:paraId="5E9D862B" w14:textId="3AA53CB2" w:rsidR="002A7494" w:rsidRPr="007A656A" w:rsidRDefault="002A7494" w:rsidP="002A7494">
      <w:r>
        <w:t xml:space="preserve">Join us in making a difference—apply today. Please send a cover letter and current resume, along with a link to your LinkedIn profile, to jobs@poweroptions.org with the subject line “Director of Development.” Complete applications must include both a resume and cover letter. Applications will be reviewed on a rolling basis until the position is filled. PowerOptions is unable to sponsor an employment visa </w:t>
      </w:r>
      <w:proofErr w:type="gramStart"/>
      <w:r>
        <w:t>at this time</w:t>
      </w:r>
      <w:proofErr w:type="gramEnd"/>
      <w:r>
        <w:t>.</w:t>
      </w:r>
    </w:p>
    <w:p w14:paraId="5C310D77" w14:textId="377FBDA5" w:rsidR="002A7494" w:rsidRPr="002A7494" w:rsidRDefault="002A7494" w:rsidP="002A7494">
      <w:pPr>
        <w:pStyle w:val="Heading2"/>
        <w:rPr>
          <w:color w:val="153D63" w:themeColor="text2" w:themeTint="E6"/>
        </w:rPr>
      </w:pPr>
      <w:r>
        <w:rPr>
          <w:color w:val="153D63" w:themeColor="text2" w:themeTint="E6"/>
        </w:rPr>
        <w:t>E-Verify</w:t>
      </w:r>
    </w:p>
    <w:p w14:paraId="60DE7302" w14:textId="77777777" w:rsidR="002A7494" w:rsidRPr="007A656A" w:rsidRDefault="002A7494" w:rsidP="002A7494">
      <w:r>
        <w:t xml:space="preserve">PowerOptions participates in the federal E-Verify program. For more information, visit </w:t>
      </w:r>
      <w:hyperlink r:id="rId10" w:tgtFrame="_new" w:history="1">
        <w:r>
          <w:t>www.e-verify.gov</w:t>
        </w:r>
      </w:hyperlink>
      <w:r>
        <w:t>.</w:t>
      </w:r>
    </w:p>
    <w:sectPr w:rsidR="002A7494" w:rsidRPr="007A656A" w:rsidSect="00D53101">
      <w:headerReference w:type="first" r:id="rId11"/>
      <w:pgSz w:w="12240" w:h="15840"/>
      <w:pgMar w:top="900" w:right="1008" w:bottom="900" w:left="100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76DB" w14:textId="77777777" w:rsidR="003A3C46" w:rsidRDefault="003A3C46">
      <w:r>
        <w:separator/>
      </w:r>
    </w:p>
  </w:endnote>
  <w:endnote w:type="continuationSeparator" w:id="0">
    <w:p w14:paraId="43E2B63B" w14:textId="77777777" w:rsidR="003A3C46" w:rsidRDefault="003A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683D" w14:textId="77777777" w:rsidR="003A3C46" w:rsidRDefault="003A3C46">
      <w:r>
        <w:separator/>
      </w:r>
    </w:p>
  </w:footnote>
  <w:footnote w:type="continuationSeparator" w:id="0">
    <w:p w14:paraId="69C2EE65" w14:textId="77777777" w:rsidR="003A3C46" w:rsidRDefault="003A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E964" w14:textId="25F7DE9F" w:rsidR="00D53101" w:rsidRDefault="00D53101">
    <w:pPr>
      <w:pStyle w:val="Header"/>
    </w:pPr>
    <w:r>
      <w:rPr>
        <w:noProof/>
      </w:rPr>
      <w:drawing>
        <wp:inline distT="0" distB="0" distL="0" distR="0" wp14:anchorId="3124491D" wp14:editId="58159EB9">
          <wp:extent cx="1202511" cy="676133"/>
          <wp:effectExtent l="0" t="0" r="0" b="0"/>
          <wp:docPr id="730541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41360" name="Picture 730541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816" cy="69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486"/>
    <w:multiLevelType w:val="hybridMultilevel"/>
    <w:tmpl w:val="0BA0655A"/>
    <w:lvl w:ilvl="0" w:tplc="C650A3A8">
      <w:start w:val="1"/>
      <w:numFmt w:val="bullet"/>
      <w:lvlText w:val="•"/>
      <w:lvlJc w:val="left"/>
      <w:pPr>
        <w:spacing w:before="40" w:after="40"/>
        <w:ind w:left="540" w:hanging="270"/>
      </w:pPr>
    </w:lvl>
    <w:lvl w:ilvl="1" w:tplc="0D501060">
      <w:numFmt w:val="decimal"/>
      <w:lvlText w:val=""/>
      <w:lvlJc w:val="left"/>
    </w:lvl>
    <w:lvl w:ilvl="2" w:tplc="A8368B92">
      <w:numFmt w:val="decimal"/>
      <w:lvlText w:val=""/>
      <w:lvlJc w:val="left"/>
    </w:lvl>
    <w:lvl w:ilvl="3" w:tplc="FB6CF7F6">
      <w:numFmt w:val="decimal"/>
      <w:lvlText w:val=""/>
      <w:lvlJc w:val="left"/>
    </w:lvl>
    <w:lvl w:ilvl="4" w:tplc="3D323BA0">
      <w:numFmt w:val="decimal"/>
      <w:lvlText w:val=""/>
      <w:lvlJc w:val="left"/>
    </w:lvl>
    <w:lvl w:ilvl="5" w:tplc="C26C3F34">
      <w:numFmt w:val="decimal"/>
      <w:lvlText w:val=""/>
      <w:lvlJc w:val="left"/>
    </w:lvl>
    <w:lvl w:ilvl="6" w:tplc="083A1116">
      <w:numFmt w:val="decimal"/>
      <w:lvlText w:val=""/>
      <w:lvlJc w:val="left"/>
    </w:lvl>
    <w:lvl w:ilvl="7" w:tplc="C9149E8A">
      <w:numFmt w:val="decimal"/>
      <w:lvlText w:val=""/>
      <w:lvlJc w:val="left"/>
    </w:lvl>
    <w:lvl w:ilvl="8" w:tplc="8972486E">
      <w:numFmt w:val="decimal"/>
      <w:lvlText w:val=""/>
      <w:lvlJc w:val="left"/>
    </w:lvl>
  </w:abstractNum>
  <w:abstractNum w:abstractNumId="1" w15:restartNumberingAfterBreak="0">
    <w:nsid w:val="2BF80EA2"/>
    <w:multiLevelType w:val="hybridMultilevel"/>
    <w:tmpl w:val="2884D772"/>
    <w:lvl w:ilvl="0" w:tplc="C8DADE2C">
      <w:start w:val="1"/>
      <w:numFmt w:val="bullet"/>
      <w:lvlText w:val="●"/>
      <w:lvlJc w:val="left"/>
      <w:pPr>
        <w:ind w:left="720" w:hanging="360"/>
      </w:pPr>
    </w:lvl>
    <w:lvl w:ilvl="1" w:tplc="02109F3E">
      <w:start w:val="1"/>
      <w:numFmt w:val="bullet"/>
      <w:lvlText w:val="○"/>
      <w:lvlJc w:val="left"/>
      <w:pPr>
        <w:ind w:left="1440" w:hanging="360"/>
      </w:pPr>
    </w:lvl>
    <w:lvl w:ilvl="2" w:tplc="82F0DA16">
      <w:start w:val="1"/>
      <w:numFmt w:val="bullet"/>
      <w:lvlText w:val="■"/>
      <w:lvlJc w:val="left"/>
      <w:pPr>
        <w:ind w:left="2160" w:hanging="360"/>
      </w:pPr>
    </w:lvl>
    <w:lvl w:ilvl="3" w:tplc="39200124">
      <w:start w:val="1"/>
      <w:numFmt w:val="bullet"/>
      <w:lvlText w:val="●"/>
      <w:lvlJc w:val="left"/>
      <w:pPr>
        <w:ind w:left="2880" w:hanging="360"/>
      </w:pPr>
    </w:lvl>
    <w:lvl w:ilvl="4" w:tplc="405C7022">
      <w:start w:val="1"/>
      <w:numFmt w:val="bullet"/>
      <w:lvlText w:val="○"/>
      <w:lvlJc w:val="left"/>
      <w:pPr>
        <w:ind w:left="3600" w:hanging="360"/>
      </w:pPr>
    </w:lvl>
    <w:lvl w:ilvl="5" w:tplc="6BAAB9AC">
      <w:start w:val="1"/>
      <w:numFmt w:val="bullet"/>
      <w:lvlText w:val="■"/>
      <w:lvlJc w:val="left"/>
      <w:pPr>
        <w:ind w:left="4320" w:hanging="360"/>
      </w:pPr>
    </w:lvl>
    <w:lvl w:ilvl="6" w:tplc="9CE0A308">
      <w:start w:val="1"/>
      <w:numFmt w:val="bullet"/>
      <w:lvlText w:val="●"/>
      <w:lvlJc w:val="left"/>
      <w:pPr>
        <w:ind w:left="5040" w:hanging="360"/>
      </w:pPr>
    </w:lvl>
    <w:lvl w:ilvl="7" w:tplc="0F325588">
      <w:start w:val="1"/>
      <w:numFmt w:val="bullet"/>
      <w:lvlText w:val="●"/>
      <w:lvlJc w:val="left"/>
      <w:pPr>
        <w:ind w:left="5760" w:hanging="360"/>
      </w:pPr>
    </w:lvl>
    <w:lvl w:ilvl="8" w:tplc="C1E616C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3C0568"/>
    <w:multiLevelType w:val="hybridMultilevel"/>
    <w:tmpl w:val="33CEF28C"/>
    <w:lvl w:ilvl="0" w:tplc="A7726540">
      <w:start w:val="1"/>
      <w:numFmt w:val="bullet"/>
      <w:lvlText w:val="•"/>
      <w:lvlJc w:val="left"/>
      <w:pPr>
        <w:spacing w:before="40" w:after="40"/>
        <w:ind w:left="540" w:hanging="270"/>
      </w:pPr>
    </w:lvl>
    <w:lvl w:ilvl="1" w:tplc="B9C07F06">
      <w:numFmt w:val="decimal"/>
      <w:lvlText w:val=""/>
      <w:lvlJc w:val="left"/>
    </w:lvl>
    <w:lvl w:ilvl="2" w:tplc="77D0D8A6">
      <w:numFmt w:val="decimal"/>
      <w:lvlText w:val=""/>
      <w:lvlJc w:val="left"/>
    </w:lvl>
    <w:lvl w:ilvl="3" w:tplc="F4EA66FC">
      <w:numFmt w:val="decimal"/>
      <w:lvlText w:val=""/>
      <w:lvlJc w:val="left"/>
    </w:lvl>
    <w:lvl w:ilvl="4" w:tplc="613001EA">
      <w:numFmt w:val="decimal"/>
      <w:lvlText w:val=""/>
      <w:lvlJc w:val="left"/>
    </w:lvl>
    <w:lvl w:ilvl="5" w:tplc="C14282B8">
      <w:numFmt w:val="decimal"/>
      <w:lvlText w:val=""/>
      <w:lvlJc w:val="left"/>
    </w:lvl>
    <w:lvl w:ilvl="6" w:tplc="73ECA038">
      <w:numFmt w:val="decimal"/>
      <w:lvlText w:val=""/>
      <w:lvlJc w:val="left"/>
    </w:lvl>
    <w:lvl w:ilvl="7" w:tplc="1ED8B72A">
      <w:numFmt w:val="decimal"/>
      <w:lvlText w:val=""/>
      <w:lvlJc w:val="left"/>
    </w:lvl>
    <w:lvl w:ilvl="8" w:tplc="516E4F5A">
      <w:numFmt w:val="decimal"/>
      <w:lvlText w:val=""/>
      <w:lvlJc w:val="left"/>
    </w:lvl>
  </w:abstractNum>
  <w:num w:numId="1" w16cid:durableId="586160884">
    <w:abstractNumId w:val="1"/>
    <w:lvlOverride w:ilvl="0">
      <w:startOverride w:val="1"/>
    </w:lvlOverride>
  </w:num>
  <w:num w:numId="2" w16cid:durableId="1942302759">
    <w:abstractNumId w:val="2"/>
    <w:lvlOverride w:ilvl="0">
      <w:startOverride w:val="1"/>
    </w:lvlOverride>
  </w:num>
  <w:num w:numId="3" w16cid:durableId="19007049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9D"/>
    <w:rsid w:val="001361BE"/>
    <w:rsid w:val="002A7494"/>
    <w:rsid w:val="003A3C46"/>
    <w:rsid w:val="006A0DF2"/>
    <w:rsid w:val="007C28B0"/>
    <w:rsid w:val="007E080C"/>
    <w:rsid w:val="008C65F7"/>
    <w:rsid w:val="008C7974"/>
    <w:rsid w:val="00D53101"/>
    <w:rsid w:val="00DA0C56"/>
    <w:rsid w:val="00DD689D"/>
    <w:rsid w:val="00FB102C"/>
    <w:rsid w:val="4F97BC89"/>
    <w:rsid w:val="60E6E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2A5F"/>
  <w15:docId w15:val="{B2A87A33-7F80-4D36-803E-8E5849EF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color w:val="2E7D32"/>
      <w:sz w:val="36"/>
      <w:szCs w:val="36"/>
    </w:rPr>
  </w:style>
  <w:style w:type="paragraph" w:styleId="Heading2">
    <w:name w:val="heading 2"/>
    <w:uiPriority w:val="9"/>
    <w:unhideWhenUsed/>
    <w:qFormat/>
    <w:pPr>
      <w:spacing w:before="80" w:after="40"/>
      <w:outlineLvl w:val="1"/>
    </w:pPr>
    <w:rPr>
      <w:b/>
      <w:bCs/>
      <w:color w:val="2E7D32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02C"/>
  </w:style>
  <w:style w:type="paragraph" w:styleId="Footer">
    <w:name w:val="footer"/>
    <w:basedOn w:val="Normal"/>
    <w:link w:val="FooterChar"/>
    <w:uiPriority w:val="99"/>
    <w:unhideWhenUsed/>
    <w:rsid w:val="00FB1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-verif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7c37-7da1-4980-a364-a49b7e53d077">
      <Terms xmlns="http://schemas.microsoft.com/office/infopath/2007/PartnerControls"/>
    </lcf76f155ced4ddcb4097134ff3c332f>
    <TaxCatchAll xmlns="268af520-c743-4b24-9a9c-d24534fed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F3B0614C2DD468503AC7F44AE9EF7" ma:contentTypeVersion="14" ma:contentTypeDescription="Create a new document." ma:contentTypeScope="" ma:versionID="effe7292988a7385195bb208fb9235de">
  <xsd:schema xmlns:xsd="http://www.w3.org/2001/XMLSchema" xmlns:xs="http://www.w3.org/2001/XMLSchema" xmlns:p="http://schemas.microsoft.com/office/2006/metadata/properties" xmlns:ns2="cfcf7c37-7da1-4980-a364-a49b7e53d077" xmlns:ns3="268af520-c743-4b24-9a9c-d24534fed551" targetNamespace="http://schemas.microsoft.com/office/2006/metadata/properties" ma:root="true" ma:fieldsID="9cce283dc822f1441e82f7eee9576fa9" ns2:_="" ns3:_="">
    <xsd:import namespace="cfcf7c37-7da1-4980-a364-a49b7e53d077"/>
    <xsd:import namespace="268af520-c743-4b24-9a9c-d24534fed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7c37-7da1-4980-a364-a49b7e53d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4b63e35-013c-4872-8d73-4e00f42c8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f520-c743-4b24-9a9c-d24534fed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4163a9-2808-4d25-98fa-38c9b14103d6}" ma:internalName="TaxCatchAll" ma:showField="CatchAllData" ma:web="268af520-c743-4b24-9a9c-d24534fed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C3CF0-30BA-4BC3-94FB-087C6F01B0C5}">
  <ds:schemaRefs>
    <ds:schemaRef ds:uri="http://schemas.microsoft.com/office/2006/metadata/properties"/>
    <ds:schemaRef ds:uri="http://schemas.microsoft.com/office/infopath/2007/PartnerControls"/>
    <ds:schemaRef ds:uri="cfcf7c37-7da1-4980-a364-a49b7e53d077"/>
    <ds:schemaRef ds:uri="268af520-c743-4b24-9a9c-d24534fed551"/>
  </ds:schemaRefs>
</ds:datastoreItem>
</file>

<file path=customXml/itemProps2.xml><?xml version="1.0" encoding="utf-8"?>
<ds:datastoreItem xmlns:ds="http://schemas.openxmlformats.org/officeDocument/2006/customXml" ds:itemID="{50258811-2F9D-4683-8B01-6E60F4F1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5FCA3-DBBC-48B2-8462-23131588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f7c37-7da1-4980-a364-a49b7e53d077"/>
    <ds:schemaRef ds:uri="268af520-c743-4b24-9a9c-d24534fed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Kristen Stelljes</cp:lastModifiedBy>
  <cp:revision>4</cp:revision>
  <dcterms:created xsi:type="dcterms:W3CDTF">2026-06-07T20:12:00Z</dcterms:created>
  <dcterms:modified xsi:type="dcterms:W3CDTF">2026-06-09T13:04:00Z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0x010100238F3B0614C2DD468503AC7F44AE9EF7</vt:lpwstr>
  </property>
  <property fmtid="{D5CDD505-2E9C-101B-9397-08002B2CF9AE}" pid="3" name="MediaServiceImageTags">
    <vt:lpwstr/>
  </property>
</Properties>
</file>